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52E7" w14:textId="77D5A834" w:rsidR="00F37990" w:rsidRPr="004A6509" w:rsidRDefault="003966B5" w:rsidP="002B10E3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bookmarkStart w:id="0" w:name="_Hlk66797149"/>
      <w:r>
        <w:rPr>
          <w:rFonts w:ascii="黑体" w:eastAsia="黑体" w:hAnsi="黑体" w:hint="eastAsia"/>
          <w:color w:val="1D44A7"/>
          <w:sz w:val="30"/>
          <w:szCs w:val="30"/>
        </w:rPr>
        <w:t xml:space="preserve"> </w:t>
      </w:r>
      <w:bookmarkStart w:id="1" w:name="OLE_LINK1"/>
      <w:bookmarkStart w:id="2" w:name="OLE_LINK2"/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中国科学院西北高原生物研究所</w:t>
      </w:r>
      <w:r w:rsidR="00511271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80403A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</w:t>
      </w:r>
      <w:r w:rsidR="00330EE5">
        <w:rPr>
          <w:rFonts w:ascii="Times New Roman" w:eastAsia="方正小标宋简体" w:hAnsi="Times New Roman" w:cs="Times New Roman" w:hint="eastAsia"/>
          <w:b/>
          <w:bCs/>
          <w:sz w:val="30"/>
          <w:szCs w:val="30"/>
        </w:rPr>
        <w:t>1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年</w:t>
      </w:r>
      <w:r w:rsidR="004F6B66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岗位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招聘</w:t>
      </w:r>
      <w:bookmarkEnd w:id="1"/>
      <w:bookmarkEnd w:id="2"/>
      <w:r w:rsidR="00057BAA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计划</w:t>
      </w:r>
    </w:p>
    <w:p w14:paraId="025B28E3" w14:textId="77777777" w:rsidR="006B5573" w:rsidRDefault="006B557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</w:p>
    <w:p w14:paraId="78772F13" w14:textId="72B88224" w:rsidR="00281B25" w:rsidRPr="00281B25" w:rsidRDefault="002B10E3" w:rsidP="00281B25">
      <w:pPr>
        <w:pStyle w:val="a7"/>
        <w:widowControl/>
        <w:numPr>
          <w:ilvl w:val="0"/>
          <w:numId w:val="1"/>
        </w:numPr>
        <w:spacing w:line="375" w:lineRule="atLeast"/>
        <w:ind w:firstLineChars="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281B25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科研岗位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145"/>
        <w:gridCol w:w="2511"/>
        <w:gridCol w:w="980"/>
        <w:gridCol w:w="4768"/>
      </w:tblGrid>
      <w:tr w:rsidR="002B10E3" w:rsidRPr="002B10E3" w14:paraId="42485401" w14:textId="77777777" w:rsidTr="00330EE5">
        <w:trPr>
          <w:trHeight w:val="60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47F" w14:textId="77777777" w:rsidR="002B10E3" w:rsidRPr="002B10E3" w:rsidRDefault="002B10E3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2813" w14:textId="77777777" w:rsidR="002B10E3" w:rsidRPr="002B10E3" w:rsidRDefault="002B10E3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35DE" w14:textId="77777777" w:rsidR="002B10E3" w:rsidRPr="002B10E3" w:rsidRDefault="002B10E3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851A" w14:textId="77777777" w:rsidR="002B10E3" w:rsidRPr="002B10E3" w:rsidRDefault="004340E0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2B10E3"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0F3D" w14:textId="77777777" w:rsidR="002B10E3" w:rsidRPr="002B10E3" w:rsidRDefault="002B10E3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 w:rsidR="00330EE5" w:rsidRPr="002B10E3" w14:paraId="2FED6302" w14:textId="77777777" w:rsidTr="00844938">
        <w:trPr>
          <w:trHeight w:val="339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D69E" w14:textId="77777777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A66F8">
              <w:rPr>
                <w:rFonts w:ascii="宋体" w:hAnsi="宋体" w:cs="宋体" w:hint="eastAsia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277D" w14:textId="035707F8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赵新全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(赵亮)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DA2C" w14:textId="3CD96559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大数据分析或遥感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C2D" w14:textId="77777777" w:rsidR="00330EE5" w:rsidRPr="00563C54" w:rsidRDefault="00330EE5" w:rsidP="00330EE5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C0B1" w14:textId="77777777" w:rsidR="00181BC4" w:rsidRPr="00181BC4" w:rsidRDefault="00181BC4" w:rsidP="00844938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181BC4">
              <w:rPr>
                <w:rFonts w:ascii="宋体" w:eastAsia="宋体" w:hAnsi="宋体" w:cs="宋体" w:hint="eastAsia"/>
                <w:kern w:val="0"/>
                <w:szCs w:val="21"/>
              </w:rPr>
              <w:t>1、具有博士学位，身体健康，年龄不超过35周岁，特别优秀的人员，年龄可适当放宽到不超过40周岁；</w:t>
            </w:r>
          </w:p>
          <w:p w14:paraId="3A0D10A1" w14:textId="77777777" w:rsidR="00181BC4" w:rsidRPr="00181BC4" w:rsidRDefault="00181BC4" w:rsidP="00844938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181BC4">
              <w:rPr>
                <w:rFonts w:ascii="宋体" w:eastAsia="宋体" w:hAnsi="宋体" w:cs="宋体" w:hint="eastAsia"/>
                <w:kern w:val="0"/>
                <w:szCs w:val="21"/>
              </w:rPr>
              <w:t>2、具有较好的与招聘学科组研究方向相关的专业知识，以第一作者或通讯作者在本学科领域核心刊物上发表过2篇及以上学术论文，其中至少1篇发表在SCI收录期刊；</w:t>
            </w:r>
          </w:p>
          <w:p w14:paraId="3923DD4B" w14:textId="2243D186" w:rsidR="00330EE5" w:rsidRPr="002B10E3" w:rsidRDefault="00181BC4" w:rsidP="00844938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181BC4">
              <w:rPr>
                <w:rFonts w:ascii="宋体" w:eastAsia="宋体" w:hAnsi="宋体" w:cs="宋体" w:hint="eastAsia"/>
                <w:kern w:val="0"/>
                <w:szCs w:val="21"/>
              </w:rPr>
              <w:t>3、有较强的责任心和为高原生物学事业的奉献精神。恪守科学道德，学风正派，诚实守信，团结协作。</w:t>
            </w:r>
          </w:p>
        </w:tc>
      </w:tr>
      <w:tr w:rsidR="00330EE5" w:rsidRPr="002B10E3" w14:paraId="6BAA906A" w14:textId="77777777" w:rsidTr="00330EE5">
        <w:trPr>
          <w:trHeight w:val="334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189F" w14:textId="77777777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DE3" w14:textId="764AE910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赵新全（</w:t>
            </w:r>
            <w:r>
              <w:rPr>
                <w:rFonts w:ascii="宋体" w:hAnsi="宋体" w:cs="宋体" w:hint="eastAsia"/>
                <w:kern w:val="0"/>
                <w:szCs w:val="21"/>
              </w:rPr>
              <w:t>周华坤</w:t>
            </w:r>
            <w:r w:rsidRPr="00AB738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83EF" w14:textId="7CBF0FC3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草地生态学或草业科学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6A0C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42B8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2B8F8B39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1BE9" w14:textId="77777777" w:rsidR="00330EE5" w:rsidRPr="006C14F1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 小哺乳动物进化适应与濒危物种保护学科组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9DE6" w14:textId="77777777" w:rsidR="00330EE5" w:rsidRPr="006C14F1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 张同作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5BBF" w14:textId="51E4FAA8" w:rsidR="00330EE5" w:rsidRPr="006C14F1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动物生态学或保护生物学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6409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F8934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6D7C18DF" w14:textId="77777777" w:rsidTr="00330EE5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BED" w14:textId="7F6D24CE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小哺乳动物适应性进化与管理学科组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7A0" w14:textId="5ACBFF09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张堰铭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C543" w14:textId="5F03F0AB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小哺乳动物宏基因组及微进化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87C2" w14:textId="3534C409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1750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206D56DA" w14:textId="77777777" w:rsidTr="00330EE5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8A4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54C83">
              <w:rPr>
                <w:rFonts w:ascii="宋体" w:hAnsi="宋体" w:cs="宋体" w:hint="eastAsia"/>
                <w:kern w:val="0"/>
                <w:szCs w:val="21"/>
              </w:rPr>
              <w:t>农作物与牧草种质创新与育种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39AF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陈志国（窦全文）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BD07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6FD7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64AB9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632EB83F" w14:textId="77777777" w:rsidTr="00330EE5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327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558E">
              <w:rPr>
                <w:rFonts w:ascii="宋体" w:hAnsi="宋体" w:cs="宋体" w:hint="eastAsia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9D5D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王洪伦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A31E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A7C9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2CDD1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0C27878C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2341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ascii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A56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ACC5" w14:textId="77777777" w:rsidR="00F64E5D" w:rsidRPr="00F64E5D" w:rsidRDefault="00F64E5D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4E5D">
              <w:rPr>
                <w:rFonts w:ascii="宋体" w:hAnsi="宋体" w:cs="宋体" w:hint="eastAsia"/>
                <w:kern w:val="0"/>
                <w:szCs w:val="21"/>
              </w:rPr>
              <w:t>天然药物化学或</w:t>
            </w:r>
          </w:p>
          <w:p w14:paraId="0DDD0827" w14:textId="3FE51246" w:rsidR="00330EE5" w:rsidRPr="004521C3" w:rsidRDefault="00F64E5D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4E5D">
              <w:rPr>
                <w:rFonts w:ascii="宋体" w:hAnsi="宋体" w:cs="宋体" w:hint="eastAsia"/>
                <w:kern w:val="0"/>
                <w:szCs w:val="21"/>
              </w:rPr>
              <w:t>药理学研究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6AA6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E6222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1005FF75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CD7D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01B1">
              <w:rPr>
                <w:rFonts w:ascii="宋体" w:hAnsi="宋体" w:cs="宋体" w:hint="eastAsia"/>
                <w:kern w:val="0"/>
                <w:szCs w:val="21"/>
              </w:rPr>
              <w:t>藏药药理及安全性评价学科组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271F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魏立新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3FD" w14:textId="77777777" w:rsidR="00330EE5" w:rsidRPr="00057BAA" w:rsidRDefault="00330EE5" w:rsidP="00330EE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药理学或药物化学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0D4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6862B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2FE530FF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EB31" w14:textId="77777777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麦类作物分子育种学科组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9FC7" w14:textId="77777777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沈裕虎</w:t>
            </w:r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5B1F" w14:textId="44C27C4E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01BAD">
              <w:rPr>
                <w:rFonts w:ascii="宋体" w:hAnsi="宋体" w:cs="宋体" w:hint="eastAsia"/>
                <w:kern w:val="0"/>
                <w:szCs w:val="21"/>
              </w:rPr>
              <w:t>作物分子生物学或作物遗传育种学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BF8E" w14:textId="7B9E209E" w:rsidR="00330EE5" w:rsidRPr="00563C54" w:rsidRDefault="0017734F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F77D6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243A3245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81D4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高原动物生殖生物学学科组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57AA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杨其恩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F0B1" w14:textId="0BE1CB0C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生殖生物学</w:t>
            </w:r>
          </w:p>
        </w:tc>
        <w:tc>
          <w:tcPr>
            <w:tcW w:w="980" w:type="dxa"/>
            <w:tcBorders>
              <w:top w:val="outset" w:sz="6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B1A3" w14:textId="1504ABCD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26CF1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2C000AB2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6F0" w14:textId="77777777" w:rsidR="00330EE5" w:rsidRPr="006208CC" w:rsidRDefault="00330EE5" w:rsidP="00330EE5">
            <w:pPr>
              <w:jc w:val="center"/>
            </w:pPr>
            <w:r w:rsidRPr="000D6485">
              <w:rPr>
                <w:rFonts w:hint="eastAsia"/>
              </w:rPr>
              <w:t>药材</w:t>
            </w:r>
            <w:r w:rsidRPr="000D6485">
              <w:rPr>
                <w:rFonts w:hint="eastAsia"/>
              </w:rPr>
              <w:t>GAP</w:t>
            </w:r>
            <w:r w:rsidRPr="000D6485">
              <w:rPr>
                <w:rFonts w:hint="eastAsia"/>
              </w:rPr>
              <w:t>生产与质量标准研究</w:t>
            </w:r>
            <w:r>
              <w:rPr>
                <w:rFonts w:hint="eastAsia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608" w14:textId="77777777" w:rsidR="00330EE5" w:rsidRPr="006208CC" w:rsidRDefault="00330EE5" w:rsidP="00330EE5">
            <w:pPr>
              <w:jc w:val="center"/>
            </w:pPr>
            <w:r w:rsidRPr="006208CC">
              <w:rPr>
                <w:rFonts w:hint="eastAsia"/>
              </w:rPr>
              <w:t>马</w:t>
            </w:r>
            <w:proofErr w:type="gramStart"/>
            <w:r w:rsidRPr="006208CC">
              <w:rPr>
                <w:rFonts w:hint="eastAsia"/>
              </w:rPr>
              <w:t>世</w:t>
            </w:r>
            <w:proofErr w:type="gramEnd"/>
            <w:r w:rsidRPr="006208CC">
              <w:rPr>
                <w:rFonts w:hint="eastAsia"/>
              </w:rPr>
              <w:t>震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A983" w14:textId="77777777" w:rsidR="00330EE5" w:rsidRPr="006208CC" w:rsidRDefault="00330EE5" w:rsidP="00330EE5">
            <w:pPr>
              <w:jc w:val="center"/>
            </w:pPr>
            <w:r w:rsidRPr="006208CC">
              <w:rPr>
                <w:rFonts w:hint="eastAsia"/>
              </w:rPr>
              <w:t>药用植物学（药材</w:t>
            </w:r>
            <w:r w:rsidRPr="006208CC">
              <w:rPr>
                <w:rFonts w:hint="eastAsia"/>
              </w:rPr>
              <w:t>GAP</w:t>
            </w:r>
            <w:r>
              <w:rPr>
                <w:rFonts w:hint="eastAsia"/>
              </w:rPr>
              <w:t>生产技术研究</w:t>
            </w:r>
            <w:r w:rsidRPr="006208CC">
              <w:rPr>
                <w:rFonts w:hint="eastAsia"/>
              </w:rPr>
              <w:t>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0CE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50CFD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769B3697" w14:textId="77777777" w:rsidTr="00330EE5">
        <w:trPr>
          <w:trHeight w:val="583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1EC4" w14:textId="77777777" w:rsidR="00330EE5" w:rsidRPr="00AF2FAF" w:rsidRDefault="00330EE5" w:rsidP="00330E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青藏高原药用植物资源与植被恢复学科组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FF59" w14:textId="77777777" w:rsidR="00330EE5" w:rsidRPr="00AF2FAF" w:rsidRDefault="00330EE5" w:rsidP="00330E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D15F" w14:textId="566522DC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植物生态学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13C3" w14:textId="144230AB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AE90C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4D0E982C" w14:textId="77777777" w:rsidTr="00330EE5">
        <w:trPr>
          <w:trHeight w:val="583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9087" w14:textId="77777777" w:rsidR="00330EE5" w:rsidRDefault="00330EE5" w:rsidP="00330E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4C87" w14:textId="18ED05DC" w:rsidR="00330EE5" w:rsidRDefault="00330EE5" w:rsidP="00330E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周国英（赵晓辉）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CDCE" w14:textId="6F5070E3" w:rsidR="00330EE5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2DEF" w14:textId="397040E0" w:rsidR="00330EE5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2D1FC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72EC3D1E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38C4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D6485">
              <w:rPr>
                <w:rFonts w:ascii="宋体" w:hAnsi="宋体" w:cs="宋体" w:hint="eastAsia"/>
                <w:kern w:val="0"/>
                <w:szCs w:val="21"/>
              </w:rPr>
              <w:t>藏药新药研究与开发</w:t>
            </w:r>
            <w:r>
              <w:rPr>
                <w:rFonts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F0F" w14:textId="77777777" w:rsidR="00330EE5" w:rsidRPr="004521C3" w:rsidRDefault="00330EE5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陶燕铎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43B5" w14:textId="6900FB9F" w:rsidR="00330EE5" w:rsidRPr="004521C3" w:rsidRDefault="006C40E0" w:rsidP="00330EE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40E0"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47C1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67828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3D6D1814" w14:textId="77777777" w:rsidTr="00330EE5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6A4" w14:textId="77777777" w:rsidR="00330EE5" w:rsidRPr="0051410D" w:rsidRDefault="00330EE5" w:rsidP="00330EE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D40" w14:textId="77777777" w:rsidR="00330EE5" w:rsidRPr="0051410D" w:rsidRDefault="00330EE5" w:rsidP="00330EE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 w:rsidRPr="0051410D">
              <w:rPr>
                <w:kern w:val="0"/>
                <w:szCs w:val="21"/>
              </w:rPr>
              <w:t>菁</w:t>
            </w:r>
            <w:proofErr w:type="gramEnd"/>
            <w:r w:rsidRPr="0051410D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AD7" w14:textId="1FE2E39B" w:rsidR="00330EE5" w:rsidRPr="0051410D" w:rsidRDefault="007D78A5" w:rsidP="00330EE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7D78A5">
              <w:rPr>
                <w:rFonts w:hint="eastAsia"/>
                <w:kern w:val="0"/>
                <w:szCs w:val="21"/>
              </w:rPr>
              <w:t>中药质量评价与控制</w:t>
            </w:r>
            <w:bookmarkStart w:id="3" w:name="_GoBack"/>
            <w:bookmarkEnd w:id="3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B4BD" w14:textId="77777777" w:rsidR="00330EE5" w:rsidRPr="00563C54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366D6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41119716" w14:textId="77777777" w:rsidTr="00F64E5D">
        <w:trPr>
          <w:trHeight w:val="68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A1AC" w14:textId="7329E895" w:rsidR="00330EE5" w:rsidRPr="0051410D" w:rsidRDefault="00330EE5" w:rsidP="00330EE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高寒生态系统与全球变化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0546" w14:textId="29CC8F72" w:rsidR="00330EE5" w:rsidRPr="0051410D" w:rsidRDefault="00330EE5" w:rsidP="00330EE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张振华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1457" w14:textId="27A7D0DF" w:rsidR="00330EE5" w:rsidRPr="0051410D" w:rsidRDefault="00330EE5" w:rsidP="00330EE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全球变化生态学（或草地生态学）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1323" w14:textId="6C04C749" w:rsidR="00330EE5" w:rsidRDefault="00330EE5" w:rsidP="00330EE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21523" w14:textId="77777777" w:rsidR="00330EE5" w:rsidRPr="002B10E3" w:rsidRDefault="00330EE5" w:rsidP="00330EE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0EE5" w:rsidRPr="002B10E3" w14:paraId="121199C7" w14:textId="77777777" w:rsidTr="00330EE5">
        <w:trPr>
          <w:trHeight w:val="513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9D2C" w14:textId="77777777" w:rsidR="00330EE5" w:rsidRPr="002B10E3" w:rsidRDefault="00330EE5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55A8" w14:textId="2E2500AB" w:rsidR="00330EE5" w:rsidRPr="00FE4C93" w:rsidRDefault="00BD229B" w:rsidP="00330EE5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0278" w14:textId="77777777" w:rsidR="00330EE5" w:rsidRPr="002B10E3" w:rsidRDefault="00330EE5" w:rsidP="00330EE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bookmarkEnd w:id="0"/>
    </w:tbl>
    <w:p w14:paraId="00B3221B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733013A9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166F40E5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451951DB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77660F07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215B82E5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4EB94EB4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360D1C1E" w14:textId="77777777" w:rsidR="00752E4F" w:rsidRDefault="00752E4F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48451526" w14:textId="77777777" w:rsidR="002B10E3" w:rsidRPr="002B10E3" w:rsidRDefault="002B10E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lastRenderedPageBreak/>
        <w:t>2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、</w:t>
      </w:r>
      <w:r w:rsidR="004469F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技术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支撑岗位</w:t>
      </w:r>
    </w:p>
    <w:tbl>
      <w:tblPr>
        <w:tblW w:w="1403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559"/>
        <w:gridCol w:w="709"/>
        <w:gridCol w:w="7353"/>
      </w:tblGrid>
      <w:tr w:rsidR="002B10E3" w:rsidRPr="002B10E3" w14:paraId="05EECF68" w14:textId="77777777" w:rsidTr="00EF24BC">
        <w:tc>
          <w:tcPr>
            <w:tcW w:w="4413" w:type="dxa"/>
            <w:vAlign w:val="center"/>
            <w:hideMark/>
          </w:tcPr>
          <w:p w14:paraId="1D4932F1" w14:textId="77777777"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1559" w:type="dxa"/>
            <w:vAlign w:val="center"/>
            <w:hideMark/>
          </w:tcPr>
          <w:p w14:paraId="1C33FCC1" w14:textId="77777777"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709" w:type="dxa"/>
            <w:vAlign w:val="center"/>
            <w:hideMark/>
          </w:tcPr>
          <w:p w14:paraId="11742A3E" w14:textId="77777777"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7353" w:type="dxa"/>
            <w:vAlign w:val="center"/>
            <w:hideMark/>
          </w:tcPr>
          <w:p w14:paraId="308553DB" w14:textId="77777777"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应聘条件</w:t>
            </w:r>
          </w:p>
        </w:tc>
      </w:tr>
      <w:tr w:rsidR="00F64E5D" w:rsidRPr="002B10E3" w14:paraId="6968F41C" w14:textId="77777777" w:rsidTr="00EF24BC">
        <w:trPr>
          <w:trHeight w:val="774"/>
        </w:trPr>
        <w:tc>
          <w:tcPr>
            <w:tcW w:w="4413" w:type="dxa"/>
            <w:vAlign w:val="center"/>
          </w:tcPr>
          <w:p w14:paraId="1F13D970" w14:textId="7C2C195A" w:rsidR="00F64E5D" w:rsidRDefault="00F64E5D" w:rsidP="00F64E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三江源站</w:t>
            </w:r>
          </w:p>
        </w:tc>
        <w:tc>
          <w:tcPr>
            <w:tcW w:w="1559" w:type="dxa"/>
            <w:vAlign w:val="center"/>
          </w:tcPr>
          <w:p w14:paraId="578963E5" w14:textId="0D3F474F" w:rsidR="00F64E5D" w:rsidRPr="00161C17" w:rsidRDefault="00F64E5D" w:rsidP="00F64E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监测支撑岗位</w:t>
            </w:r>
          </w:p>
        </w:tc>
        <w:tc>
          <w:tcPr>
            <w:tcW w:w="709" w:type="dxa"/>
            <w:vAlign w:val="center"/>
          </w:tcPr>
          <w:p w14:paraId="4CCA2999" w14:textId="4F9F5C84" w:rsidR="00F64E5D" w:rsidRDefault="00F64E5D" w:rsidP="00F64E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53" w:type="dxa"/>
            <w:vMerge w:val="restart"/>
            <w:vAlign w:val="center"/>
          </w:tcPr>
          <w:p w14:paraId="7E54D029" w14:textId="143A6EB0" w:rsidR="00F64E5D" w:rsidRPr="002E6A45" w:rsidRDefault="00A660D8" w:rsidP="002E6A45">
            <w:pPr>
              <w:pStyle w:val="a7"/>
              <w:widowControl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2E6A45" w:rsidRPr="002E6A45">
              <w:rPr>
                <w:rFonts w:ascii="宋体" w:hAnsi="宋体" w:cs="宋体" w:hint="eastAsia"/>
                <w:kern w:val="0"/>
                <w:szCs w:val="21"/>
              </w:rPr>
              <w:t>三江源站水分监测岗位</w:t>
            </w:r>
            <w:r w:rsidR="00181BC4">
              <w:rPr>
                <w:rFonts w:ascii="宋体" w:hAnsi="宋体" w:cs="宋体" w:hint="eastAsia"/>
                <w:kern w:val="0"/>
                <w:szCs w:val="21"/>
              </w:rPr>
              <w:t>者应</w:t>
            </w:r>
            <w:r w:rsidR="005D3A74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2E6A45" w:rsidRPr="002E6A45">
              <w:rPr>
                <w:rFonts w:ascii="宋体" w:hAnsi="宋体" w:cs="宋体" w:hint="eastAsia"/>
                <w:kern w:val="0"/>
                <w:szCs w:val="21"/>
              </w:rPr>
              <w:t>环境监测相关专业，熟练掌握水分、水质分析等技术和相关仪器操作；生物监测岗位</w:t>
            </w:r>
            <w:r w:rsidR="00181BC4">
              <w:rPr>
                <w:rFonts w:ascii="宋体" w:hAnsi="宋体" w:cs="宋体" w:hint="eastAsia"/>
                <w:kern w:val="0"/>
                <w:szCs w:val="21"/>
              </w:rPr>
              <w:t>应</w:t>
            </w:r>
            <w:r w:rsidR="005D3A74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2E6A45" w:rsidRPr="002E6A45">
              <w:rPr>
                <w:rFonts w:ascii="宋体" w:hAnsi="宋体" w:cs="宋体" w:hint="eastAsia"/>
                <w:kern w:val="0"/>
                <w:szCs w:val="21"/>
              </w:rPr>
              <w:t>植物生态学专业，熟练掌握生物调查、分析等技术和相关仪器操作；</w:t>
            </w:r>
          </w:p>
          <w:p w14:paraId="56E67046" w14:textId="5AEC680D" w:rsidR="002E6A45" w:rsidRDefault="00A660D8" w:rsidP="002E6A45">
            <w:pPr>
              <w:pStyle w:val="a7"/>
              <w:widowControl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2E6A45" w:rsidRPr="002E6A45">
              <w:rPr>
                <w:rFonts w:ascii="宋体" w:hAnsi="宋体" w:cs="宋体" w:hint="eastAsia"/>
                <w:kern w:val="0"/>
                <w:szCs w:val="21"/>
              </w:rPr>
              <w:t>所级公共技术服务中心</w:t>
            </w:r>
            <w:r w:rsidR="00181BC4">
              <w:rPr>
                <w:rFonts w:ascii="宋体" w:hAnsi="宋体" w:cs="宋体" w:hint="eastAsia"/>
                <w:kern w:val="0"/>
                <w:szCs w:val="21"/>
              </w:rPr>
              <w:t>岗位者应具有</w:t>
            </w:r>
            <w:r w:rsidR="002E6A45" w:rsidRPr="002E6A45">
              <w:rPr>
                <w:rFonts w:ascii="宋体" w:hAnsi="宋体" w:cs="宋体" w:hint="eastAsia"/>
                <w:kern w:val="0"/>
                <w:szCs w:val="21"/>
              </w:rPr>
              <w:t>中药学或植物化学或天然药物化学或特色生物资源研究开发专业</w:t>
            </w:r>
            <w:r w:rsidR="002E6A4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3B1B537D" w14:textId="77777777" w:rsidR="002E6A45" w:rsidRPr="002E6A45" w:rsidRDefault="002E6A45" w:rsidP="002E6A45">
            <w:pPr>
              <w:pStyle w:val="a7"/>
              <w:widowControl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宋体"/>
                <w:kern w:val="0"/>
                <w:szCs w:val="21"/>
              </w:rPr>
            </w:pPr>
            <w:r w:rsidRPr="002E6A45">
              <w:rPr>
                <w:rFonts w:ascii="宋体" w:hAnsi="宋体" w:cs="宋体" w:hint="eastAsia"/>
                <w:kern w:val="0"/>
                <w:szCs w:val="21"/>
              </w:rPr>
              <w:t>具有硕士及以上学位（博士学位者优先）；</w:t>
            </w:r>
          </w:p>
          <w:p w14:paraId="225EB38F" w14:textId="74882824" w:rsidR="002E6A45" w:rsidRPr="002E6A45" w:rsidRDefault="002E6A45" w:rsidP="002E6A45">
            <w:pPr>
              <w:pStyle w:val="a7"/>
              <w:widowControl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宋体"/>
                <w:kern w:val="0"/>
                <w:szCs w:val="21"/>
              </w:rPr>
            </w:pPr>
            <w:r w:rsidRPr="002E6A45">
              <w:rPr>
                <w:rFonts w:ascii="宋体" w:hAnsi="宋体" w:cs="宋体" w:hint="eastAsia"/>
                <w:kern w:val="0"/>
                <w:szCs w:val="21"/>
              </w:rPr>
              <w:t>以第一作者或通讯作者在本学科领域核心刊物上发表过1篇及以上学术论文；</w:t>
            </w:r>
          </w:p>
          <w:p w14:paraId="02AAB185" w14:textId="229D0821" w:rsidR="002E6A45" w:rsidRPr="002E6A45" w:rsidRDefault="002E6A45" w:rsidP="002E6A45">
            <w:pPr>
              <w:pStyle w:val="a7"/>
              <w:widowControl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宋体"/>
                <w:kern w:val="0"/>
                <w:szCs w:val="21"/>
              </w:rPr>
            </w:pPr>
            <w:r w:rsidRPr="002E6A45">
              <w:rPr>
                <w:rFonts w:ascii="宋体" w:hAnsi="宋体" w:cs="宋体" w:hint="eastAsia"/>
                <w:kern w:val="0"/>
                <w:szCs w:val="21"/>
              </w:rPr>
              <w:t>身体健康，年龄不超过35周岁，有一定的组织管理和协调能力，具有分析问题和解决疑难问题的能力，热爱技术支撑服务工作，责任心和服务意识强，良好的团队合作精神。</w:t>
            </w:r>
          </w:p>
        </w:tc>
      </w:tr>
      <w:tr w:rsidR="00F64E5D" w:rsidRPr="002B10E3" w14:paraId="33D99978" w14:textId="77777777" w:rsidTr="00EF24BC">
        <w:trPr>
          <w:trHeight w:val="774"/>
        </w:trPr>
        <w:tc>
          <w:tcPr>
            <w:tcW w:w="4413" w:type="dxa"/>
            <w:vAlign w:val="center"/>
          </w:tcPr>
          <w:p w14:paraId="299C6240" w14:textId="4589B6B0" w:rsidR="00F64E5D" w:rsidRPr="00563C54" w:rsidRDefault="00F64E5D" w:rsidP="00F64E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4E5D">
              <w:rPr>
                <w:rFonts w:ascii="宋体" w:hAnsi="宋体" w:cs="宋体" w:hint="eastAsia"/>
                <w:kern w:val="0"/>
                <w:szCs w:val="21"/>
              </w:rPr>
              <w:t>所级公共技术服务中心（青海省青藏高原特色生物资源工程技术研究中心）</w:t>
            </w:r>
          </w:p>
        </w:tc>
        <w:tc>
          <w:tcPr>
            <w:tcW w:w="1559" w:type="dxa"/>
            <w:vAlign w:val="center"/>
          </w:tcPr>
          <w:p w14:paraId="6F71FEB9" w14:textId="238EDFF2" w:rsidR="00F64E5D" w:rsidRDefault="00F64E5D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4E5D">
              <w:rPr>
                <w:rFonts w:ascii="宋体" w:hAnsi="宋体" w:cs="宋体" w:hint="eastAsia"/>
                <w:kern w:val="0"/>
                <w:szCs w:val="21"/>
              </w:rPr>
              <w:t>技术研发支撑岗位</w:t>
            </w:r>
          </w:p>
        </w:tc>
        <w:tc>
          <w:tcPr>
            <w:tcW w:w="709" w:type="dxa"/>
            <w:vAlign w:val="center"/>
          </w:tcPr>
          <w:p w14:paraId="0345F85F" w14:textId="77777777" w:rsidR="00F64E5D" w:rsidRDefault="00F64E5D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53" w:type="dxa"/>
            <w:vMerge/>
          </w:tcPr>
          <w:p w14:paraId="2E55FD0D" w14:textId="77777777" w:rsidR="00F64E5D" w:rsidRPr="008C34B0" w:rsidRDefault="00F64E5D" w:rsidP="00F64E5D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4E5D" w:rsidRPr="002B10E3" w14:paraId="46072C23" w14:textId="77777777" w:rsidTr="00EF24BC">
        <w:trPr>
          <w:trHeight w:val="540"/>
        </w:trPr>
        <w:tc>
          <w:tcPr>
            <w:tcW w:w="5972" w:type="dxa"/>
            <w:gridSpan w:val="2"/>
            <w:vAlign w:val="center"/>
          </w:tcPr>
          <w:p w14:paraId="3DE14E7C" w14:textId="77777777" w:rsidR="00F64E5D" w:rsidRPr="007267E0" w:rsidRDefault="00F64E5D" w:rsidP="00F64E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14:paraId="078CC63D" w14:textId="221C54AB" w:rsidR="00F64E5D" w:rsidRPr="00D9149C" w:rsidRDefault="00F64E5D" w:rsidP="00F64E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53" w:type="dxa"/>
            <w:vAlign w:val="center"/>
          </w:tcPr>
          <w:p w14:paraId="3E9DC7CF" w14:textId="77777777" w:rsidR="00F64E5D" w:rsidRPr="00B721A0" w:rsidRDefault="00F64E5D" w:rsidP="00F64E5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FFC84BD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057D1856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2B1B4E45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51967B4A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1504B800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7113A3FA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19868EB5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5A1D63FC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34919729" w14:textId="77777777" w:rsidR="00752E4F" w:rsidRDefault="00752E4F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083B7641" w14:textId="77777777" w:rsidR="00296990" w:rsidRPr="00965A45" w:rsidRDefault="00296990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lastRenderedPageBreak/>
        <w:t>3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、管理岗位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 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 xml:space="preserve">　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 xml:space="preserve">   </w:t>
      </w:r>
    </w:p>
    <w:tbl>
      <w:tblPr>
        <w:tblW w:w="1403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47"/>
        <w:gridCol w:w="1540"/>
        <w:gridCol w:w="704"/>
        <w:gridCol w:w="7343"/>
      </w:tblGrid>
      <w:tr w:rsidR="00296990" w:rsidRPr="00965A45" w14:paraId="2147470F" w14:textId="77777777" w:rsidTr="00EF24BC">
        <w:tc>
          <w:tcPr>
            <w:tcW w:w="4447" w:type="dxa"/>
            <w:shd w:val="clear" w:color="auto" w:fill="auto"/>
            <w:vAlign w:val="center"/>
            <w:hideMark/>
          </w:tcPr>
          <w:p w14:paraId="6C345DD9" w14:textId="77777777" w:rsidR="00296990" w:rsidRPr="00B7531E" w:rsidRDefault="00296990" w:rsidP="00C557B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531E"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0013D8D" w14:textId="77777777" w:rsidR="00296990" w:rsidRPr="00B7531E" w:rsidRDefault="00296990" w:rsidP="00C557B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531E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AA31D78" w14:textId="77777777" w:rsidR="00296990" w:rsidRPr="00B7531E" w:rsidRDefault="00296990" w:rsidP="00C557B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531E"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7343" w:type="dxa"/>
            <w:shd w:val="clear" w:color="auto" w:fill="auto"/>
            <w:hideMark/>
          </w:tcPr>
          <w:p w14:paraId="1EAE56DE" w14:textId="789C0377" w:rsidR="00296990" w:rsidRPr="00B7531E" w:rsidRDefault="00A15BB5" w:rsidP="00A15BB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岗位职责和</w:t>
            </w:r>
            <w:r w:rsidR="00296990" w:rsidRPr="00B7531E">
              <w:rPr>
                <w:rFonts w:ascii="宋体" w:hAnsi="宋体" w:cs="宋体" w:hint="eastAsia"/>
                <w:kern w:val="0"/>
                <w:szCs w:val="21"/>
              </w:rPr>
              <w:t>应聘条件</w:t>
            </w:r>
          </w:p>
        </w:tc>
      </w:tr>
      <w:tr w:rsidR="0024305E" w:rsidRPr="00965A45" w14:paraId="025226A8" w14:textId="77777777" w:rsidTr="00EF24BC">
        <w:trPr>
          <w:trHeight w:val="1941"/>
        </w:trPr>
        <w:tc>
          <w:tcPr>
            <w:tcW w:w="4447" w:type="dxa"/>
            <w:shd w:val="clear" w:color="auto" w:fill="auto"/>
            <w:vAlign w:val="center"/>
            <w:hideMark/>
          </w:tcPr>
          <w:p w14:paraId="467DDE12" w14:textId="5C62CE0A" w:rsidR="0024305E" w:rsidRPr="00B7531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所办公室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5BD2749" w14:textId="2C266FFA" w:rsidR="0024305E" w:rsidRPr="004521C3" w:rsidRDefault="000004E5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科学传播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2499180D" w14:textId="34E686C3" w:rsidR="0024305E" w:rsidRPr="004521C3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43" w:type="dxa"/>
            <w:vMerge w:val="restart"/>
            <w:shd w:val="clear" w:color="auto" w:fill="auto"/>
            <w:hideMark/>
          </w:tcPr>
          <w:p w14:paraId="18047A52" w14:textId="2CD807BD" w:rsidR="0024305E" w:rsidRDefault="0024305E" w:rsidP="00F64E5D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358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岗位职责：</w:t>
            </w:r>
          </w:p>
          <w:p w14:paraId="76ADAD88" w14:textId="66DD7DD2" w:rsidR="0024305E" w:rsidRPr="00D16EE6" w:rsidRDefault="00181BC4" w:rsidP="00F32275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16EE6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0004E5">
              <w:rPr>
                <w:rFonts w:ascii="宋体" w:hAnsi="宋体" w:cs="宋体" w:hint="eastAsia"/>
                <w:kern w:val="0"/>
                <w:szCs w:val="21"/>
              </w:rPr>
              <w:t>科学传播</w:t>
            </w:r>
            <w:r w:rsidR="00D16EE6" w:rsidRPr="00D16EE6">
              <w:rPr>
                <w:rFonts w:ascii="宋体" w:hAnsi="宋体" w:cs="宋体" w:hint="eastAsia"/>
                <w:kern w:val="0"/>
                <w:szCs w:val="21"/>
              </w:rPr>
              <w:t>岗位</w:t>
            </w:r>
            <w:r w:rsidR="00F32275">
              <w:rPr>
                <w:rFonts w:ascii="宋体" w:hAnsi="宋体" w:cs="宋体" w:hint="eastAsia"/>
                <w:kern w:val="0"/>
                <w:szCs w:val="21"/>
              </w:rPr>
              <w:t>承担全所的</w:t>
            </w:r>
            <w:r w:rsidR="00F85AD7" w:rsidRPr="00F85AD7">
              <w:rPr>
                <w:rFonts w:ascii="宋体" w:hAnsi="宋体" w:cs="宋体" w:hint="eastAsia"/>
                <w:kern w:val="0"/>
                <w:szCs w:val="21"/>
              </w:rPr>
              <w:t>科学传播（网络宣传、新媒体运营、新闻宣传、信息公开等）相关工作，协助完成所办公室日常事务性工作</w:t>
            </w:r>
            <w:r w:rsidR="00F3227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0E33B6B5" w14:textId="249EC05B" w:rsidR="00D16EE6" w:rsidRDefault="00D16EE6" w:rsidP="00F64E5D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16EE6">
              <w:rPr>
                <w:rFonts w:ascii="宋体" w:hAnsi="宋体" w:cs="宋体" w:hint="eastAsia"/>
                <w:kern w:val="0"/>
                <w:szCs w:val="21"/>
              </w:rPr>
              <w:t>2、国有资产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管理岗位</w:t>
            </w:r>
            <w:r w:rsidR="006D2250">
              <w:rPr>
                <w:rFonts w:ascii="宋体" w:hAnsi="宋体" w:cs="宋体" w:hint="eastAsia"/>
                <w:kern w:val="0"/>
                <w:szCs w:val="21"/>
              </w:rPr>
              <w:t>承担</w:t>
            </w:r>
            <w:r w:rsidRPr="00D16EE6">
              <w:rPr>
                <w:rFonts w:ascii="宋体" w:hAnsi="宋体" w:cs="宋体" w:hint="eastAsia"/>
                <w:kern w:val="0"/>
                <w:szCs w:val="21"/>
              </w:rPr>
              <w:t>全所固定资产、仪器设备、办公用房及设备等国有资产的</w:t>
            </w:r>
            <w:r w:rsidR="00BC6AA5">
              <w:rPr>
                <w:rFonts w:ascii="宋体" w:hAnsi="宋体" w:cs="宋体" w:hint="eastAsia"/>
                <w:kern w:val="0"/>
                <w:szCs w:val="21"/>
              </w:rPr>
              <w:t>日常</w:t>
            </w:r>
            <w:r w:rsidRPr="00D16EE6"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="00BC6AA5">
              <w:rPr>
                <w:rFonts w:ascii="宋体" w:hAnsi="宋体" w:cs="宋体" w:hint="eastAsia"/>
                <w:kern w:val="0"/>
                <w:szCs w:val="21"/>
              </w:rPr>
              <w:t>及各类报表的报送</w:t>
            </w:r>
            <w:r w:rsidR="00F3227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2CC08C14" w14:textId="146A8E73" w:rsidR="00BC6AA5" w:rsidRDefault="00BC6AA5" w:rsidP="00F64E5D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="00106D1E" w:rsidRPr="00106D1E">
              <w:rPr>
                <w:rFonts w:ascii="宋体" w:hAnsi="宋体" w:cs="宋体" w:hint="eastAsia"/>
                <w:kern w:val="0"/>
                <w:szCs w:val="21"/>
              </w:rPr>
              <w:t>院地合作及政府采购</w:t>
            </w:r>
            <w:r w:rsidR="00106D1E">
              <w:rPr>
                <w:rFonts w:ascii="宋体" w:hAnsi="宋体" w:cs="宋体" w:hint="eastAsia"/>
                <w:kern w:val="0"/>
                <w:szCs w:val="21"/>
              </w:rPr>
              <w:t>岗位</w:t>
            </w:r>
            <w:r w:rsidR="006D2250">
              <w:rPr>
                <w:rFonts w:ascii="宋体" w:hAnsi="宋体" w:cs="宋体" w:hint="eastAsia"/>
                <w:kern w:val="0"/>
                <w:szCs w:val="21"/>
              </w:rPr>
              <w:t>承担</w:t>
            </w:r>
            <w:r w:rsidR="00106D1E">
              <w:rPr>
                <w:rFonts w:ascii="宋体" w:hAnsi="宋体" w:cs="宋体" w:hint="eastAsia"/>
                <w:kern w:val="0"/>
                <w:szCs w:val="21"/>
              </w:rPr>
              <w:t>全所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院地合作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所办公司日常管理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修购专项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政府采购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野外台站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进口仪器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；采购合同审查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耗材采购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喀斯</w:t>
            </w:r>
            <w:proofErr w:type="gramStart"/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玛</w:t>
            </w:r>
            <w:proofErr w:type="gramEnd"/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招投标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易制毒等试剂申请采购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等管理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青藏第二次科考</w:t>
            </w:r>
            <w:r w:rsidR="00EE43D7"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="00EE43D7" w:rsidRPr="00EE43D7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="00106D1E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="00F3227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2B681167" w14:textId="0A93E46D" w:rsidR="00106D1E" w:rsidRDefault="00106D1E" w:rsidP="00F64E5D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 w:rsidRPr="00106D1E">
              <w:rPr>
                <w:rFonts w:ascii="宋体" w:hAnsi="宋体" w:cs="宋体" w:hint="eastAsia"/>
                <w:kern w:val="0"/>
                <w:szCs w:val="21"/>
              </w:rPr>
              <w:t>纪检和内部审计</w:t>
            </w: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  <w:r w:rsidR="006D2250">
              <w:rPr>
                <w:rFonts w:ascii="宋体" w:hAnsi="宋体" w:cs="宋体" w:hint="eastAsia"/>
                <w:kern w:val="0"/>
                <w:szCs w:val="21"/>
              </w:rPr>
              <w:t>承担</w:t>
            </w:r>
            <w:r>
              <w:rPr>
                <w:rFonts w:ascii="宋体" w:hAnsi="宋体" w:cs="宋体" w:hint="eastAsia"/>
                <w:kern w:val="0"/>
                <w:szCs w:val="21"/>
              </w:rPr>
              <w:t>纪委办公</w:t>
            </w:r>
            <w:r w:rsidR="006D2250">
              <w:rPr>
                <w:rFonts w:ascii="宋体" w:hAnsi="宋体" w:cs="宋体" w:hint="eastAsia"/>
                <w:kern w:val="0"/>
                <w:szCs w:val="21"/>
              </w:rPr>
              <w:t>室日常管理</w:t>
            </w:r>
            <w:r w:rsidR="00676D59">
              <w:rPr>
                <w:rFonts w:ascii="宋体" w:hAnsi="宋体" w:cs="宋体" w:hint="eastAsia"/>
                <w:kern w:val="0"/>
                <w:szCs w:val="21"/>
              </w:rPr>
              <w:t>、内部审计等工作，负责</w:t>
            </w:r>
            <w:r w:rsidR="006D2250" w:rsidRPr="006D2250">
              <w:rPr>
                <w:rFonts w:ascii="宋体" w:hAnsi="宋体" w:cs="宋体" w:hint="eastAsia"/>
                <w:kern w:val="0"/>
                <w:szCs w:val="21"/>
              </w:rPr>
              <w:t>纪检案件档案和内审工作档案等管理</w:t>
            </w:r>
            <w:r w:rsidR="00F3227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6DDCDDFD" w14:textId="4F356A4D" w:rsidR="00106D1E" w:rsidRPr="00BC6AA5" w:rsidRDefault="00106D1E" w:rsidP="00F64E5D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5、研究生教育和继续教育管理岗位</w:t>
            </w:r>
            <w:r w:rsidRPr="00106D1E">
              <w:rPr>
                <w:rFonts w:ascii="宋体" w:hAnsi="宋体" w:cs="宋体" w:hint="eastAsia"/>
                <w:kern w:val="0"/>
                <w:szCs w:val="21"/>
              </w:rPr>
              <w:t>负责研究生培养过程、教务、就业、留学生、研究生日常管理及学生学籍档案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管理和</w:t>
            </w:r>
            <w:r w:rsidRPr="00106D1E">
              <w:rPr>
                <w:rFonts w:ascii="宋体" w:hAnsi="宋体" w:cs="宋体" w:hint="eastAsia"/>
                <w:kern w:val="0"/>
                <w:szCs w:val="21"/>
              </w:rPr>
              <w:t>继续教育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Pr="00106D1E">
              <w:rPr>
                <w:rFonts w:ascii="宋体" w:hAnsi="宋体" w:cs="宋体" w:hint="eastAsia"/>
                <w:kern w:val="0"/>
                <w:szCs w:val="21"/>
              </w:rPr>
              <w:t>等工作。</w:t>
            </w:r>
          </w:p>
          <w:p w14:paraId="3A339D16" w14:textId="02E3B5E1" w:rsidR="0024305E" w:rsidRPr="00A358B9" w:rsidRDefault="0024305E" w:rsidP="00F64E5D">
            <w:pPr>
              <w:widowControl/>
              <w:spacing w:line="375" w:lineRule="atLeas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358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应聘条件：</w:t>
            </w:r>
          </w:p>
          <w:p w14:paraId="7A4300A8" w14:textId="70640AB8" w:rsidR="004103F1" w:rsidRPr="004103F1" w:rsidRDefault="00CD77AE" w:rsidP="00F13DDA">
            <w:pPr>
              <w:pStyle w:val="a7"/>
              <w:widowControl/>
              <w:numPr>
                <w:ilvl w:val="0"/>
                <w:numId w:val="4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3F1">
              <w:rPr>
                <w:rFonts w:ascii="宋体" w:hAnsi="宋体" w:cs="宋体" w:hint="eastAsia"/>
                <w:kern w:val="0"/>
                <w:szCs w:val="21"/>
              </w:rPr>
              <w:t>具有硕士研究生及以上学历和学位，</w:t>
            </w:r>
            <w:r w:rsidR="004103F1" w:rsidRPr="004103F1">
              <w:rPr>
                <w:rFonts w:ascii="宋体" w:hAnsi="宋体" w:cs="宋体" w:hint="eastAsia"/>
                <w:kern w:val="0"/>
                <w:szCs w:val="21"/>
              </w:rPr>
              <w:t>身心健康，</w:t>
            </w:r>
            <w:r w:rsidR="00F13DDA" w:rsidRPr="00F13DDA">
              <w:rPr>
                <w:rFonts w:ascii="宋体" w:hAnsi="宋体" w:cs="宋体" w:hint="eastAsia"/>
                <w:kern w:val="0"/>
                <w:szCs w:val="21"/>
              </w:rPr>
              <w:t>年龄不超过35周岁</w:t>
            </w:r>
            <w:r w:rsidR="00F13DDA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A992873" w14:textId="48999DD3" w:rsidR="001F5E4F" w:rsidRDefault="00F32275" w:rsidP="003C36DF">
            <w:pPr>
              <w:pStyle w:val="a7"/>
              <w:widowControl/>
              <w:numPr>
                <w:ilvl w:val="0"/>
                <w:numId w:val="4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2275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0004E5" w:rsidRPr="00F32275">
              <w:rPr>
                <w:rFonts w:ascii="宋体" w:hAnsi="宋体" w:cs="宋体" w:hint="eastAsia"/>
                <w:kern w:val="0"/>
                <w:szCs w:val="21"/>
              </w:rPr>
              <w:t>科学传播岗位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应为应届毕业生，专业不限，具有较强的中英文写作能力，良好的口头表达能力和组织协调能力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能够熟练使用常用办公自动化软件，具备一定的新媒体运营经验</w:t>
            </w:r>
            <w:r w:rsidR="00C03BC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1FF477B5" w14:textId="78E6A536" w:rsidR="001F5E4F" w:rsidRDefault="000004E5" w:rsidP="003C36DF">
            <w:pPr>
              <w:pStyle w:val="a7"/>
              <w:widowControl/>
              <w:numPr>
                <w:ilvl w:val="0"/>
                <w:numId w:val="4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2275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CD77AE" w:rsidRPr="00F32275">
              <w:rPr>
                <w:rFonts w:ascii="宋体" w:hAnsi="宋体" w:cs="宋体" w:hint="eastAsia"/>
                <w:kern w:val="0"/>
                <w:szCs w:val="21"/>
              </w:rPr>
              <w:t>国有资产管理岗位应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CD77AE" w:rsidRPr="00F32275">
              <w:rPr>
                <w:rFonts w:ascii="宋体" w:hAnsi="宋体" w:cs="宋体" w:hint="eastAsia"/>
                <w:kern w:val="0"/>
                <w:szCs w:val="21"/>
              </w:rPr>
              <w:t>经济管理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或财务管理</w:t>
            </w:r>
            <w:r w:rsidR="00CD77AE" w:rsidRPr="00F32275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毕业生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，有熟练的计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lastRenderedPageBreak/>
              <w:t>算机操作能力和办公软件应用能力</w:t>
            </w:r>
            <w:r w:rsidR="00C03BC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FB407B3" w14:textId="4C96B05A" w:rsidR="001F5E4F" w:rsidRDefault="004103F1" w:rsidP="003C36DF">
            <w:pPr>
              <w:pStyle w:val="a7"/>
              <w:widowControl/>
              <w:numPr>
                <w:ilvl w:val="0"/>
                <w:numId w:val="4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2275">
              <w:rPr>
                <w:rFonts w:ascii="宋体" w:hAnsi="宋体" w:cs="宋体" w:hint="eastAsia"/>
                <w:kern w:val="0"/>
                <w:szCs w:val="21"/>
              </w:rPr>
              <w:t>应聘院地合作及政府采购岗位应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3F08D5">
              <w:rPr>
                <w:rFonts w:ascii="宋体" w:hAnsi="宋体" w:cs="宋体" w:hint="eastAsia"/>
                <w:kern w:val="0"/>
                <w:szCs w:val="21"/>
              </w:rPr>
              <w:t>理科或工科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相关专业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毕业生</w:t>
            </w:r>
            <w:r w:rsidR="00C03BC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0065AEC" w14:textId="33825766" w:rsidR="001F5E4F" w:rsidRDefault="004103F1" w:rsidP="003C36DF">
            <w:pPr>
              <w:pStyle w:val="a7"/>
              <w:widowControl/>
              <w:numPr>
                <w:ilvl w:val="0"/>
                <w:numId w:val="4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2275">
              <w:rPr>
                <w:rFonts w:ascii="宋体" w:hAnsi="宋体" w:cs="宋体" w:hint="eastAsia"/>
                <w:kern w:val="0"/>
                <w:szCs w:val="21"/>
              </w:rPr>
              <w:t>应聘纪检和内部审计岗位应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审计或财务管理及其相关专业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毕业生</w:t>
            </w:r>
            <w:r w:rsidRPr="00F32275">
              <w:rPr>
                <w:rFonts w:ascii="宋体" w:hAnsi="宋体" w:cs="宋体" w:hint="eastAsia"/>
                <w:kern w:val="0"/>
                <w:szCs w:val="21"/>
              </w:rPr>
              <w:t>，须为中共正式党员</w:t>
            </w:r>
            <w:r w:rsidR="00C03BC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292EFB8C" w14:textId="11CE8166" w:rsidR="0024305E" w:rsidRPr="00F32275" w:rsidRDefault="004103F1" w:rsidP="003C36DF">
            <w:pPr>
              <w:pStyle w:val="a7"/>
              <w:widowControl/>
              <w:numPr>
                <w:ilvl w:val="0"/>
                <w:numId w:val="4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2275">
              <w:rPr>
                <w:rFonts w:ascii="宋体" w:hAnsi="宋体" w:cs="宋体" w:hint="eastAsia"/>
                <w:kern w:val="0"/>
                <w:szCs w:val="21"/>
              </w:rPr>
              <w:t>应聘研究生教育和继续教育管理</w:t>
            </w:r>
            <w:r w:rsidR="00F32275" w:rsidRPr="00F32275">
              <w:rPr>
                <w:rFonts w:ascii="宋体" w:hAnsi="宋体" w:cs="宋体" w:hint="eastAsia"/>
                <w:kern w:val="0"/>
                <w:szCs w:val="21"/>
              </w:rPr>
              <w:t>岗位应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F32275" w:rsidRPr="00F32275">
              <w:rPr>
                <w:rFonts w:ascii="宋体" w:hAnsi="宋体" w:cs="宋体" w:hint="eastAsia"/>
                <w:kern w:val="0"/>
                <w:szCs w:val="21"/>
              </w:rPr>
              <w:t>生物学、生态学、中药学及其相关专业或心理学专业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毕业生</w:t>
            </w:r>
            <w:r w:rsidR="00F32275" w:rsidRPr="00F32275">
              <w:rPr>
                <w:rFonts w:ascii="宋体" w:hAnsi="宋体" w:cs="宋体" w:hint="eastAsia"/>
                <w:kern w:val="0"/>
                <w:szCs w:val="21"/>
              </w:rPr>
              <w:t>（应用心理学专业</w:t>
            </w:r>
            <w:r w:rsidR="00567814">
              <w:rPr>
                <w:rFonts w:ascii="宋体" w:hAnsi="宋体" w:cs="宋体" w:hint="eastAsia"/>
                <w:kern w:val="0"/>
                <w:szCs w:val="21"/>
              </w:rPr>
              <w:t>毕业生</w:t>
            </w:r>
            <w:r w:rsidR="00F32275" w:rsidRPr="00F32275">
              <w:rPr>
                <w:rFonts w:ascii="宋体" w:hAnsi="宋体" w:cs="宋体" w:hint="eastAsia"/>
                <w:kern w:val="0"/>
                <w:szCs w:val="21"/>
              </w:rPr>
              <w:t>优先）</w:t>
            </w:r>
            <w:r w:rsidR="003F08D5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3F08D5" w:rsidRPr="00F32275">
              <w:rPr>
                <w:rFonts w:ascii="宋体" w:hAnsi="宋体" w:cs="宋体" w:hint="eastAsia"/>
                <w:kern w:val="0"/>
                <w:szCs w:val="21"/>
              </w:rPr>
              <w:t>须为中共正式党员</w:t>
            </w:r>
            <w:r w:rsidR="003F08D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CC34B1F" w14:textId="72DAD906" w:rsidR="0024305E" w:rsidRPr="00A15BB5" w:rsidRDefault="00547C5B" w:rsidP="00F64E5D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D77AE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4103F1" w:rsidRPr="00A15BB5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="0024305E" w:rsidRPr="00A15BB5">
              <w:rPr>
                <w:rFonts w:ascii="宋体" w:hAnsi="宋体" w:cs="宋体" w:hint="eastAsia"/>
                <w:kern w:val="0"/>
                <w:szCs w:val="21"/>
              </w:rPr>
              <w:t>作风正派、</w:t>
            </w:r>
            <w:r w:rsidR="004103F1" w:rsidRPr="00A15BB5">
              <w:rPr>
                <w:rFonts w:ascii="宋体" w:hAnsi="宋体" w:cs="宋体" w:hint="eastAsia"/>
                <w:kern w:val="0"/>
                <w:szCs w:val="21"/>
              </w:rPr>
              <w:t>勤奋敬业</w:t>
            </w:r>
            <w:r w:rsidR="004103F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24305E" w:rsidRPr="00A15BB5">
              <w:rPr>
                <w:rFonts w:ascii="宋体" w:hAnsi="宋体" w:cs="宋体" w:hint="eastAsia"/>
                <w:kern w:val="0"/>
                <w:szCs w:val="21"/>
              </w:rPr>
              <w:t>踏实</w:t>
            </w:r>
            <w:r w:rsidR="004103F1">
              <w:rPr>
                <w:rFonts w:ascii="宋体" w:hAnsi="宋体" w:cs="宋体" w:hint="eastAsia"/>
                <w:kern w:val="0"/>
                <w:szCs w:val="21"/>
              </w:rPr>
              <w:t>肯干</w:t>
            </w:r>
            <w:r w:rsidR="0024305E" w:rsidRPr="00A15BB5">
              <w:rPr>
                <w:rFonts w:ascii="宋体" w:hAnsi="宋体" w:cs="宋体" w:hint="eastAsia"/>
                <w:kern w:val="0"/>
                <w:szCs w:val="21"/>
              </w:rPr>
              <w:t>、善于学习，具有较强的服务意识和团队协作精神</w:t>
            </w:r>
            <w:r w:rsidR="008F4CB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EB2F448" w14:textId="386F6859" w:rsidR="0024305E" w:rsidRPr="00B7531E" w:rsidRDefault="0024305E" w:rsidP="004103F1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305E" w:rsidRPr="00965A45" w14:paraId="2D53F078" w14:textId="77777777" w:rsidTr="00EF24BC">
        <w:trPr>
          <w:trHeight w:val="1346"/>
        </w:trPr>
        <w:tc>
          <w:tcPr>
            <w:tcW w:w="4447" w:type="dxa"/>
            <w:shd w:val="clear" w:color="auto" w:fill="auto"/>
            <w:vAlign w:val="center"/>
          </w:tcPr>
          <w:p w14:paraId="39DD62A3" w14:textId="6E67DE0B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基建与国有资产办公室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D1DC939" w14:textId="1EE8FE8E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国有资产管理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ABD90E1" w14:textId="6B7A6360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43" w:type="dxa"/>
            <w:vMerge/>
            <w:shd w:val="clear" w:color="auto" w:fill="auto"/>
          </w:tcPr>
          <w:p w14:paraId="556C0DA2" w14:textId="77777777" w:rsidR="0024305E" w:rsidRPr="00A358B9" w:rsidRDefault="0024305E" w:rsidP="00F64E5D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4305E" w:rsidRPr="00965A45" w14:paraId="3B6C209F" w14:textId="77777777" w:rsidTr="00EF24BC">
        <w:trPr>
          <w:trHeight w:val="1346"/>
        </w:trPr>
        <w:tc>
          <w:tcPr>
            <w:tcW w:w="4447" w:type="dxa"/>
            <w:shd w:val="clear" w:color="auto" w:fill="auto"/>
            <w:vAlign w:val="center"/>
          </w:tcPr>
          <w:p w14:paraId="7D73289F" w14:textId="3E498135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4E5D">
              <w:rPr>
                <w:rFonts w:ascii="宋体" w:hAnsi="宋体" w:cs="宋体" w:hint="eastAsia"/>
                <w:kern w:val="0"/>
                <w:szCs w:val="21"/>
              </w:rPr>
              <w:t>科技处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5EA567F" w14:textId="211BF598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院地合作及政府采购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050DD8" w14:textId="22FFB443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43" w:type="dxa"/>
            <w:vMerge/>
            <w:shd w:val="clear" w:color="auto" w:fill="auto"/>
          </w:tcPr>
          <w:p w14:paraId="3EF0EACA" w14:textId="77777777" w:rsidR="0024305E" w:rsidRPr="00A358B9" w:rsidRDefault="0024305E" w:rsidP="00F64E5D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4305E" w:rsidRPr="00965A45" w14:paraId="06008C7E" w14:textId="77777777" w:rsidTr="00EF24BC">
        <w:trPr>
          <w:trHeight w:val="1346"/>
        </w:trPr>
        <w:tc>
          <w:tcPr>
            <w:tcW w:w="4447" w:type="dxa"/>
            <w:vMerge w:val="restart"/>
            <w:shd w:val="clear" w:color="auto" w:fill="auto"/>
            <w:vAlign w:val="center"/>
          </w:tcPr>
          <w:p w14:paraId="3BB719AC" w14:textId="1EA25FAE" w:rsidR="0024305E" w:rsidRPr="00F64E5D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组织人事处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A60BA91" w14:textId="7271A43D" w:rsidR="0024305E" w:rsidRDefault="009B117D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2275">
              <w:rPr>
                <w:rFonts w:ascii="宋体" w:hAnsi="宋体" w:cs="宋体" w:hint="eastAsia"/>
                <w:kern w:val="0"/>
                <w:szCs w:val="21"/>
              </w:rPr>
              <w:t>纪检和内部审计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BE239C5" w14:textId="7AAC327C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43" w:type="dxa"/>
            <w:vMerge/>
            <w:shd w:val="clear" w:color="auto" w:fill="auto"/>
          </w:tcPr>
          <w:p w14:paraId="60CF2663" w14:textId="77777777" w:rsidR="0024305E" w:rsidRPr="00A358B9" w:rsidRDefault="0024305E" w:rsidP="00F64E5D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4305E" w:rsidRPr="00965A45" w14:paraId="6C78B143" w14:textId="77777777" w:rsidTr="00EF24BC">
        <w:trPr>
          <w:trHeight w:val="1346"/>
        </w:trPr>
        <w:tc>
          <w:tcPr>
            <w:tcW w:w="4447" w:type="dxa"/>
            <w:vMerge/>
            <w:shd w:val="clear" w:color="auto" w:fill="auto"/>
            <w:vAlign w:val="center"/>
          </w:tcPr>
          <w:p w14:paraId="580B614B" w14:textId="77777777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47A05A74" w14:textId="0A2E0E34" w:rsidR="0024305E" w:rsidRDefault="00106D1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</w:t>
            </w:r>
            <w:r w:rsidR="0024305E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和继续教育管理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BAF6AB" w14:textId="2AF5C6D7" w:rsidR="0024305E" w:rsidRDefault="0024305E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43" w:type="dxa"/>
            <w:vMerge/>
            <w:shd w:val="clear" w:color="auto" w:fill="auto"/>
          </w:tcPr>
          <w:p w14:paraId="3895F8DB" w14:textId="77777777" w:rsidR="0024305E" w:rsidRPr="00A358B9" w:rsidRDefault="0024305E" w:rsidP="00F64E5D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F01DE9" w:rsidRPr="00965A45" w14:paraId="5E052B82" w14:textId="77777777" w:rsidTr="00A70717">
        <w:trPr>
          <w:trHeight w:val="803"/>
        </w:trPr>
        <w:tc>
          <w:tcPr>
            <w:tcW w:w="5987" w:type="dxa"/>
            <w:gridSpan w:val="2"/>
            <w:shd w:val="clear" w:color="auto" w:fill="auto"/>
            <w:vAlign w:val="center"/>
          </w:tcPr>
          <w:p w14:paraId="1B6B0DE5" w14:textId="5AA0FF9D" w:rsidR="00F01DE9" w:rsidRDefault="00F01DE9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500BAAB" w14:textId="2BB9738F" w:rsidR="00F01DE9" w:rsidRDefault="00752E4F" w:rsidP="00F64E5D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43" w:type="dxa"/>
            <w:shd w:val="clear" w:color="auto" w:fill="auto"/>
          </w:tcPr>
          <w:p w14:paraId="38061FF7" w14:textId="77777777" w:rsidR="00F01DE9" w:rsidRPr="00A358B9" w:rsidRDefault="00F01DE9" w:rsidP="00F64E5D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1C350FB0" w14:textId="77777777" w:rsidR="002B10E3" w:rsidRPr="00296990" w:rsidRDefault="002B10E3" w:rsidP="002B10E3">
      <w:pPr>
        <w:jc w:val="center"/>
      </w:pPr>
    </w:p>
    <w:sectPr w:rsidR="002B10E3" w:rsidRPr="00296990" w:rsidSect="00F228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8F0C" w14:textId="77777777" w:rsidR="007575AC" w:rsidRDefault="007575AC" w:rsidP="00AD7963">
      <w:r>
        <w:separator/>
      </w:r>
    </w:p>
  </w:endnote>
  <w:endnote w:type="continuationSeparator" w:id="0">
    <w:p w14:paraId="58884A89" w14:textId="77777777" w:rsidR="007575AC" w:rsidRDefault="007575AC" w:rsidP="00A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F6A2A" w14:textId="77777777" w:rsidR="007575AC" w:rsidRDefault="007575AC" w:rsidP="00AD7963">
      <w:r>
        <w:separator/>
      </w:r>
    </w:p>
  </w:footnote>
  <w:footnote w:type="continuationSeparator" w:id="0">
    <w:p w14:paraId="16498851" w14:textId="77777777" w:rsidR="007575AC" w:rsidRDefault="007575AC" w:rsidP="00A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04E4"/>
    <w:multiLevelType w:val="hybridMultilevel"/>
    <w:tmpl w:val="FCEA5460"/>
    <w:lvl w:ilvl="0" w:tplc="4F62CD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6E127D"/>
    <w:multiLevelType w:val="hybridMultilevel"/>
    <w:tmpl w:val="13E6D418"/>
    <w:lvl w:ilvl="0" w:tplc="AA12F0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7E57152"/>
    <w:multiLevelType w:val="hybridMultilevel"/>
    <w:tmpl w:val="34D09B34"/>
    <w:lvl w:ilvl="0" w:tplc="FE5A6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90BDF"/>
    <w:multiLevelType w:val="hybridMultilevel"/>
    <w:tmpl w:val="BD529A5A"/>
    <w:lvl w:ilvl="0" w:tplc="77BE3E34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004E5"/>
    <w:rsid w:val="00002F66"/>
    <w:rsid w:val="00016946"/>
    <w:rsid w:val="000202BF"/>
    <w:rsid w:val="00025F3E"/>
    <w:rsid w:val="00034984"/>
    <w:rsid w:val="00043829"/>
    <w:rsid w:val="00046CA7"/>
    <w:rsid w:val="0005019A"/>
    <w:rsid w:val="00057BAA"/>
    <w:rsid w:val="00065F7B"/>
    <w:rsid w:val="00076536"/>
    <w:rsid w:val="00082E01"/>
    <w:rsid w:val="00084C8B"/>
    <w:rsid w:val="000A2B27"/>
    <w:rsid w:val="000A487F"/>
    <w:rsid w:val="000A4A1E"/>
    <w:rsid w:val="000E0F43"/>
    <w:rsid w:val="00105D64"/>
    <w:rsid w:val="00106D1E"/>
    <w:rsid w:val="00112926"/>
    <w:rsid w:val="00121D70"/>
    <w:rsid w:val="001332E8"/>
    <w:rsid w:val="001503AC"/>
    <w:rsid w:val="00152542"/>
    <w:rsid w:val="0015636D"/>
    <w:rsid w:val="00161C17"/>
    <w:rsid w:val="00167949"/>
    <w:rsid w:val="001708DC"/>
    <w:rsid w:val="0017734F"/>
    <w:rsid w:val="00181BC4"/>
    <w:rsid w:val="0019242E"/>
    <w:rsid w:val="00193FA5"/>
    <w:rsid w:val="001A65A5"/>
    <w:rsid w:val="001C559F"/>
    <w:rsid w:val="001D14B2"/>
    <w:rsid w:val="001D4938"/>
    <w:rsid w:val="001E03DC"/>
    <w:rsid w:val="001F1F8A"/>
    <w:rsid w:val="001F5E4F"/>
    <w:rsid w:val="001F7C57"/>
    <w:rsid w:val="00217E72"/>
    <w:rsid w:val="002213D5"/>
    <w:rsid w:val="002338D5"/>
    <w:rsid w:val="0024305E"/>
    <w:rsid w:val="00267019"/>
    <w:rsid w:val="00274EBD"/>
    <w:rsid w:val="0028174C"/>
    <w:rsid w:val="00281B25"/>
    <w:rsid w:val="00291A97"/>
    <w:rsid w:val="00296990"/>
    <w:rsid w:val="00297AE7"/>
    <w:rsid w:val="002B10E3"/>
    <w:rsid w:val="002B1AAF"/>
    <w:rsid w:val="002C22C5"/>
    <w:rsid w:val="002C3D9A"/>
    <w:rsid w:val="002C6BA0"/>
    <w:rsid w:val="002E6A45"/>
    <w:rsid w:val="00307FBA"/>
    <w:rsid w:val="00317FE0"/>
    <w:rsid w:val="003263B5"/>
    <w:rsid w:val="00330EE5"/>
    <w:rsid w:val="00344E9F"/>
    <w:rsid w:val="00374CA4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60BE"/>
    <w:rsid w:val="003D4485"/>
    <w:rsid w:val="003D5FF3"/>
    <w:rsid w:val="003D662B"/>
    <w:rsid w:val="003D712E"/>
    <w:rsid w:val="003F08D5"/>
    <w:rsid w:val="003F31E6"/>
    <w:rsid w:val="00402C76"/>
    <w:rsid w:val="00403E51"/>
    <w:rsid w:val="004103F1"/>
    <w:rsid w:val="00410D82"/>
    <w:rsid w:val="00417E7B"/>
    <w:rsid w:val="004340E0"/>
    <w:rsid w:val="004469F5"/>
    <w:rsid w:val="00447047"/>
    <w:rsid w:val="00461971"/>
    <w:rsid w:val="00467774"/>
    <w:rsid w:val="00474F6B"/>
    <w:rsid w:val="004815FF"/>
    <w:rsid w:val="00495D69"/>
    <w:rsid w:val="004969AA"/>
    <w:rsid w:val="004A199A"/>
    <w:rsid w:val="004A4209"/>
    <w:rsid w:val="004A6509"/>
    <w:rsid w:val="004C0ECC"/>
    <w:rsid w:val="004C1B40"/>
    <w:rsid w:val="004C2257"/>
    <w:rsid w:val="004C66F0"/>
    <w:rsid w:val="004E626A"/>
    <w:rsid w:val="004F3A4E"/>
    <w:rsid w:val="004F6B66"/>
    <w:rsid w:val="004F6D17"/>
    <w:rsid w:val="004F7790"/>
    <w:rsid w:val="005014E4"/>
    <w:rsid w:val="005103DA"/>
    <w:rsid w:val="00511271"/>
    <w:rsid w:val="00527875"/>
    <w:rsid w:val="005361FC"/>
    <w:rsid w:val="00540120"/>
    <w:rsid w:val="00542131"/>
    <w:rsid w:val="0054799B"/>
    <w:rsid w:val="00547C5B"/>
    <w:rsid w:val="00555DE6"/>
    <w:rsid w:val="00563C54"/>
    <w:rsid w:val="00567814"/>
    <w:rsid w:val="00575034"/>
    <w:rsid w:val="00595D8A"/>
    <w:rsid w:val="005B41A2"/>
    <w:rsid w:val="005B6EA8"/>
    <w:rsid w:val="005B7F8F"/>
    <w:rsid w:val="005D3A74"/>
    <w:rsid w:val="005D57AE"/>
    <w:rsid w:val="005E5FE7"/>
    <w:rsid w:val="005F3ECF"/>
    <w:rsid w:val="00600150"/>
    <w:rsid w:val="0061168D"/>
    <w:rsid w:val="00626018"/>
    <w:rsid w:val="00640F4A"/>
    <w:rsid w:val="00642FA6"/>
    <w:rsid w:val="00660792"/>
    <w:rsid w:val="00664859"/>
    <w:rsid w:val="00664BEF"/>
    <w:rsid w:val="00673A12"/>
    <w:rsid w:val="00676D59"/>
    <w:rsid w:val="00696A6C"/>
    <w:rsid w:val="006A3E2D"/>
    <w:rsid w:val="006B5573"/>
    <w:rsid w:val="006C40E0"/>
    <w:rsid w:val="006C7B95"/>
    <w:rsid w:val="006D2250"/>
    <w:rsid w:val="00701308"/>
    <w:rsid w:val="00701384"/>
    <w:rsid w:val="00701BAD"/>
    <w:rsid w:val="00710C53"/>
    <w:rsid w:val="00720447"/>
    <w:rsid w:val="00721BF7"/>
    <w:rsid w:val="00725294"/>
    <w:rsid w:val="00733371"/>
    <w:rsid w:val="007470AB"/>
    <w:rsid w:val="00751126"/>
    <w:rsid w:val="00752E4F"/>
    <w:rsid w:val="007559BF"/>
    <w:rsid w:val="007575AC"/>
    <w:rsid w:val="00763F4D"/>
    <w:rsid w:val="00765C09"/>
    <w:rsid w:val="0076784B"/>
    <w:rsid w:val="0077061A"/>
    <w:rsid w:val="007709D8"/>
    <w:rsid w:val="00776CCE"/>
    <w:rsid w:val="00780B5C"/>
    <w:rsid w:val="007812D7"/>
    <w:rsid w:val="00784B77"/>
    <w:rsid w:val="007916BB"/>
    <w:rsid w:val="0079348C"/>
    <w:rsid w:val="00793604"/>
    <w:rsid w:val="007938A0"/>
    <w:rsid w:val="007B18F9"/>
    <w:rsid w:val="007C219F"/>
    <w:rsid w:val="007D133F"/>
    <w:rsid w:val="007D51DA"/>
    <w:rsid w:val="007D78A5"/>
    <w:rsid w:val="007E6E23"/>
    <w:rsid w:val="007F1CAF"/>
    <w:rsid w:val="007F3ACA"/>
    <w:rsid w:val="0080403A"/>
    <w:rsid w:val="00806CEE"/>
    <w:rsid w:val="00811242"/>
    <w:rsid w:val="0081158C"/>
    <w:rsid w:val="00812BAE"/>
    <w:rsid w:val="00820CE0"/>
    <w:rsid w:val="00823517"/>
    <w:rsid w:val="008318AA"/>
    <w:rsid w:val="00836B0B"/>
    <w:rsid w:val="0084220F"/>
    <w:rsid w:val="00844938"/>
    <w:rsid w:val="008455E7"/>
    <w:rsid w:val="00846F9B"/>
    <w:rsid w:val="0085534B"/>
    <w:rsid w:val="00872ECF"/>
    <w:rsid w:val="00877342"/>
    <w:rsid w:val="00887509"/>
    <w:rsid w:val="0089263C"/>
    <w:rsid w:val="0089667B"/>
    <w:rsid w:val="00897CA5"/>
    <w:rsid w:val="008A2064"/>
    <w:rsid w:val="008B47F5"/>
    <w:rsid w:val="008D1395"/>
    <w:rsid w:val="008D56C1"/>
    <w:rsid w:val="008E4ED9"/>
    <w:rsid w:val="008F34F3"/>
    <w:rsid w:val="008F4CB8"/>
    <w:rsid w:val="008F5C6D"/>
    <w:rsid w:val="008F6E73"/>
    <w:rsid w:val="008F7F5C"/>
    <w:rsid w:val="00901343"/>
    <w:rsid w:val="00930508"/>
    <w:rsid w:val="00932FEC"/>
    <w:rsid w:val="00950D0E"/>
    <w:rsid w:val="00965A45"/>
    <w:rsid w:val="00987C82"/>
    <w:rsid w:val="0099373A"/>
    <w:rsid w:val="00996C83"/>
    <w:rsid w:val="009B117D"/>
    <w:rsid w:val="009B77F4"/>
    <w:rsid w:val="009C0CAD"/>
    <w:rsid w:val="009D47A3"/>
    <w:rsid w:val="009D49AC"/>
    <w:rsid w:val="009D7AEC"/>
    <w:rsid w:val="009E0C31"/>
    <w:rsid w:val="009E7581"/>
    <w:rsid w:val="009F48F3"/>
    <w:rsid w:val="00A00F54"/>
    <w:rsid w:val="00A01963"/>
    <w:rsid w:val="00A151C7"/>
    <w:rsid w:val="00A15BB5"/>
    <w:rsid w:val="00A22CFB"/>
    <w:rsid w:val="00A27A16"/>
    <w:rsid w:val="00A358B9"/>
    <w:rsid w:val="00A53472"/>
    <w:rsid w:val="00A5786F"/>
    <w:rsid w:val="00A660D8"/>
    <w:rsid w:val="00A70717"/>
    <w:rsid w:val="00AC21A7"/>
    <w:rsid w:val="00AC2376"/>
    <w:rsid w:val="00AD14D0"/>
    <w:rsid w:val="00AD187F"/>
    <w:rsid w:val="00AD528A"/>
    <w:rsid w:val="00AD57ED"/>
    <w:rsid w:val="00AD7963"/>
    <w:rsid w:val="00AE4A52"/>
    <w:rsid w:val="00AE61B5"/>
    <w:rsid w:val="00AE6386"/>
    <w:rsid w:val="00B119BB"/>
    <w:rsid w:val="00B35317"/>
    <w:rsid w:val="00B55128"/>
    <w:rsid w:val="00B65EE2"/>
    <w:rsid w:val="00B66BB4"/>
    <w:rsid w:val="00B721A0"/>
    <w:rsid w:val="00B72B3B"/>
    <w:rsid w:val="00B7531E"/>
    <w:rsid w:val="00B962F6"/>
    <w:rsid w:val="00BC6155"/>
    <w:rsid w:val="00BC67D1"/>
    <w:rsid w:val="00BC6AA5"/>
    <w:rsid w:val="00BD229B"/>
    <w:rsid w:val="00BD577B"/>
    <w:rsid w:val="00BE1494"/>
    <w:rsid w:val="00BE295A"/>
    <w:rsid w:val="00BF30D9"/>
    <w:rsid w:val="00C03BC8"/>
    <w:rsid w:val="00C06591"/>
    <w:rsid w:val="00C140D0"/>
    <w:rsid w:val="00C21921"/>
    <w:rsid w:val="00C232F2"/>
    <w:rsid w:val="00C31A36"/>
    <w:rsid w:val="00C43102"/>
    <w:rsid w:val="00C4467F"/>
    <w:rsid w:val="00C45EC9"/>
    <w:rsid w:val="00C50E25"/>
    <w:rsid w:val="00C530C5"/>
    <w:rsid w:val="00C769D1"/>
    <w:rsid w:val="00CA1CC9"/>
    <w:rsid w:val="00CB4E03"/>
    <w:rsid w:val="00CB5831"/>
    <w:rsid w:val="00CD77AE"/>
    <w:rsid w:val="00CE313E"/>
    <w:rsid w:val="00CE5493"/>
    <w:rsid w:val="00CF1DA4"/>
    <w:rsid w:val="00D03341"/>
    <w:rsid w:val="00D03FEB"/>
    <w:rsid w:val="00D16EE6"/>
    <w:rsid w:val="00D303A7"/>
    <w:rsid w:val="00D42794"/>
    <w:rsid w:val="00D50CF7"/>
    <w:rsid w:val="00D67AE9"/>
    <w:rsid w:val="00D82607"/>
    <w:rsid w:val="00D828DC"/>
    <w:rsid w:val="00D82E6E"/>
    <w:rsid w:val="00D86EB6"/>
    <w:rsid w:val="00D87F45"/>
    <w:rsid w:val="00D9149C"/>
    <w:rsid w:val="00D95642"/>
    <w:rsid w:val="00DB3EFB"/>
    <w:rsid w:val="00DB4879"/>
    <w:rsid w:val="00DB732F"/>
    <w:rsid w:val="00DB75DC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75D68"/>
    <w:rsid w:val="00E876EA"/>
    <w:rsid w:val="00E906EA"/>
    <w:rsid w:val="00E91845"/>
    <w:rsid w:val="00E9469D"/>
    <w:rsid w:val="00EA2798"/>
    <w:rsid w:val="00EA32D4"/>
    <w:rsid w:val="00EB1DED"/>
    <w:rsid w:val="00EB2457"/>
    <w:rsid w:val="00EC51D1"/>
    <w:rsid w:val="00EC6D1F"/>
    <w:rsid w:val="00ED13BD"/>
    <w:rsid w:val="00ED275F"/>
    <w:rsid w:val="00ED5083"/>
    <w:rsid w:val="00ED5A8E"/>
    <w:rsid w:val="00ED6F08"/>
    <w:rsid w:val="00EE43D7"/>
    <w:rsid w:val="00EE6F77"/>
    <w:rsid w:val="00EF24BC"/>
    <w:rsid w:val="00F01DE9"/>
    <w:rsid w:val="00F071F9"/>
    <w:rsid w:val="00F10896"/>
    <w:rsid w:val="00F13DDA"/>
    <w:rsid w:val="00F22880"/>
    <w:rsid w:val="00F25CA3"/>
    <w:rsid w:val="00F32275"/>
    <w:rsid w:val="00F36266"/>
    <w:rsid w:val="00F37990"/>
    <w:rsid w:val="00F64E5D"/>
    <w:rsid w:val="00F820CF"/>
    <w:rsid w:val="00F85AD7"/>
    <w:rsid w:val="00FB2A51"/>
    <w:rsid w:val="00FC2B6B"/>
    <w:rsid w:val="00FD2469"/>
    <w:rsid w:val="00FD3F58"/>
    <w:rsid w:val="00FE33D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E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297</Words>
  <Characters>1698</Characters>
  <Application>Microsoft Office Word</Application>
  <DocSecurity>0</DocSecurity>
  <Lines>14</Lines>
  <Paragraphs>3</Paragraphs>
  <ScaleCrop>false</ScaleCrop>
  <Company>Sky123.Org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钟海民</dc:creator>
  <cp:lastModifiedBy>张兴琪</cp:lastModifiedBy>
  <cp:revision>29</cp:revision>
  <cp:lastPrinted>2019-07-02T10:27:00Z</cp:lastPrinted>
  <dcterms:created xsi:type="dcterms:W3CDTF">2021-03-16T06:42:00Z</dcterms:created>
  <dcterms:modified xsi:type="dcterms:W3CDTF">2021-03-19T09:11:00Z</dcterms:modified>
</cp:coreProperties>
</file>